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407068" w14:textId="47C3822A" w:rsidR="009A10E8" w:rsidRDefault="003227FA">
      <w:pPr>
        <w:tabs>
          <w:tab w:val="left" w:pos="3390"/>
          <w:tab w:val="center" w:pos="5032"/>
        </w:tabs>
        <w:spacing w:before="57" w:after="57"/>
        <w:jc w:val="center"/>
        <w:rPr>
          <w:rFonts w:ascii="Verdana" w:eastAsia="Arial" w:hAnsi="Verdana" w:cs="Arial"/>
          <w:b/>
          <w:color w:val="000000"/>
          <w:u w:val="single"/>
        </w:rPr>
      </w:pPr>
      <w:r>
        <w:rPr>
          <w:rFonts w:ascii="Verdana" w:eastAsia="Arial" w:hAnsi="Verdana" w:cs="Arial"/>
          <w:b/>
          <w:color w:val="000000"/>
          <w:u w:val="single"/>
        </w:rPr>
        <w:t>ANEX OI-1</w:t>
      </w:r>
    </w:p>
    <w:p w14:paraId="36250A0B" w14:textId="77777777" w:rsidR="009A10E8" w:rsidRDefault="00000000">
      <w:pPr>
        <w:tabs>
          <w:tab w:val="left" w:pos="3390"/>
          <w:tab w:val="center" w:pos="5032"/>
        </w:tabs>
        <w:spacing w:before="57" w:after="57"/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  <w:u w:val="single"/>
        </w:rPr>
        <w:t>ESTUDO TÉCNICO PRELIMINAR</w:t>
      </w:r>
    </w:p>
    <w:p w14:paraId="45FF0DAE" w14:textId="77777777" w:rsidR="009A10E8" w:rsidRDefault="009A10E8">
      <w:pPr>
        <w:tabs>
          <w:tab w:val="left" w:pos="3390"/>
          <w:tab w:val="center" w:pos="5032"/>
        </w:tabs>
        <w:spacing w:before="57" w:after="57"/>
        <w:jc w:val="center"/>
        <w:rPr>
          <w:rFonts w:ascii="Verdana" w:eastAsia="Arial" w:hAnsi="Verdana" w:cs="Arial"/>
          <w:b/>
          <w:color w:val="000000"/>
          <w:u w:val="single"/>
        </w:rPr>
      </w:pPr>
    </w:p>
    <w:p w14:paraId="64BCA333" w14:textId="77777777" w:rsidR="009A10E8" w:rsidRDefault="00000000">
      <w:pPr>
        <w:tabs>
          <w:tab w:val="left" w:pos="3390"/>
          <w:tab w:val="center" w:pos="5032"/>
        </w:tabs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1. INFORMAÇÕES BÁSICAS</w:t>
      </w:r>
    </w:p>
    <w:p w14:paraId="33CDD74F" w14:textId="6779EB5C" w:rsidR="009A10E8" w:rsidRDefault="00000000">
      <w:pPr>
        <w:pStyle w:val="PargrafodaLista"/>
        <w:tabs>
          <w:tab w:val="left" w:pos="3390"/>
          <w:tab w:val="center" w:pos="5032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color w:val="000000"/>
          <w:sz w:val="20"/>
          <w:szCs w:val="20"/>
        </w:rPr>
        <w:t xml:space="preserve">1.1. Processo Administrativo nº </w:t>
      </w:r>
      <w:r w:rsidR="003227FA">
        <w:rPr>
          <w:rFonts w:ascii="Verdana" w:eastAsia="Arial" w:hAnsi="Verdana" w:cs="Arial"/>
          <w:b/>
          <w:color w:val="000000"/>
          <w:sz w:val="20"/>
          <w:szCs w:val="20"/>
        </w:rPr>
        <w:t>2868</w:t>
      </w:r>
      <w:r>
        <w:rPr>
          <w:rFonts w:ascii="Verdana" w:eastAsia="Arial" w:hAnsi="Verdana" w:cs="Arial"/>
          <w:b/>
          <w:color w:val="000000"/>
          <w:sz w:val="20"/>
          <w:szCs w:val="20"/>
        </w:rPr>
        <w:t xml:space="preserve">/2025. </w:t>
      </w:r>
    </w:p>
    <w:p w14:paraId="7AC9CE3B" w14:textId="77777777" w:rsidR="009A10E8" w:rsidRDefault="009A10E8">
      <w:pPr>
        <w:pStyle w:val="PargrafodaLista"/>
        <w:tabs>
          <w:tab w:val="left" w:pos="3390"/>
          <w:tab w:val="center" w:pos="5032"/>
        </w:tabs>
        <w:spacing w:before="57" w:after="57" w:line="240" w:lineRule="auto"/>
        <w:ind w:left="0"/>
        <w:jc w:val="both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2AF9BA27" w14:textId="77777777" w:rsidR="009A10E8" w:rsidRDefault="00000000">
      <w:pPr>
        <w:pStyle w:val="PargrafodaLista"/>
        <w:tabs>
          <w:tab w:val="left" w:pos="3390"/>
          <w:tab w:val="center" w:pos="5032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color w:val="000000"/>
          <w:sz w:val="20"/>
          <w:szCs w:val="20"/>
        </w:rPr>
        <w:t>Contratação de empresa para prestação de serviços de arbitragem, para modalidades esportivas diversas, em decorrência dos eventos a serem realizados ao longo do exercício de 2025.</w:t>
      </w:r>
    </w:p>
    <w:p w14:paraId="49672270" w14:textId="77777777" w:rsidR="009A10E8" w:rsidRDefault="009A10E8">
      <w:pPr>
        <w:pStyle w:val="PargrafodaLista"/>
        <w:tabs>
          <w:tab w:val="left" w:pos="3390"/>
          <w:tab w:val="center" w:pos="5032"/>
        </w:tabs>
        <w:spacing w:before="57" w:after="57" w:line="240" w:lineRule="auto"/>
        <w:ind w:left="0"/>
        <w:jc w:val="both"/>
        <w:rPr>
          <w:rFonts w:ascii="Verdana" w:eastAsia="Arial" w:hAnsi="Verdana" w:cs="Arial"/>
          <w:color w:val="000000"/>
          <w:sz w:val="20"/>
          <w:szCs w:val="20"/>
        </w:rPr>
      </w:pPr>
    </w:p>
    <w:p w14:paraId="14A10C57" w14:textId="77777777" w:rsidR="009A10E8" w:rsidRDefault="00000000">
      <w:pPr>
        <w:pStyle w:val="PargrafodaLista"/>
        <w:tabs>
          <w:tab w:val="left" w:pos="3390"/>
          <w:tab w:val="center" w:pos="5032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color w:val="000000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01631D6E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526CC4CD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2. LOCAL DE EXECUÇÃO DA PRESTAÇÃO DOS SERVIÇOS</w:t>
      </w:r>
    </w:p>
    <w:p w14:paraId="31C6BD06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Os serviços serão executados em quadras poliesportivas, no Ginásio de Esportes “Anastácio Cassaro”, bem como em campos de futebol, todos localizados nesta Municipalidade. Demais detalhes, como horários e datas em específico, serão definidos em momento oportuno com a proximidade da execução dos eventos, todos a serem realizados ao longo do ano de 2025.</w:t>
      </w:r>
    </w:p>
    <w:p w14:paraId="304E583C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489BD37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3. CONTATO</w:t>
      </w:r>
    </w:p>
    <w:p w14:paraId="1D0C0B4B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Tel: </w:t>
      </w:r>
      <w:r>
        <w:rPr>
          <w:rFonts w:ascii="Verdana" w:hAnsi="Verdana" w:cs="Arial"/>
          <w:color w:val="000000"/>
        </w:rPr>
        <w:t>27 9 9726 1939</w:t>
      </w:r>
    </w:p>
    <w:p w14:paraId="721A0346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Email: </w:t>
      </w:r>
      <w:r>
        <w:rPr>
          <w:rFonts w:ascii="Verdana" w:hAnsi="Verdana" w:cs="Arial"/>
          <w:color w:val="000000"/>
        </w:rPr>
        <w:t>esportesgp@hotmail.com</w:t>
      </w:r>
    </w:p>
    <w:p w14:paraId="6AFC9C1F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Responsável: </w:t>
      </w:r>
      <w:r>
        <w:rPr>
          <w:rFonts w:ascii="Verdana" w:hAnsi="Verdana" w:cs="Arial"/>
          <w:color w:val="000000"/>
        </w:rPr>
        <w:t>Secretaria Municipal de Esporte e Lazer</w:t>
      </w:r>
    </w:p>
    <w:p w14:paraId="77FE4FAA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72431714" w14:textId="77777777" w:rsidR="009A10E8" w:rsidRDefault="00000000">
      <w:pPr>
        <w:shd w:val="clear" w:color="auto" w:fill="FFFFFF"/>
        <w:spacing w:before="57" w:after="57"/>
        <w:jc w:val="both"/>
        <w:textAlignment w:val="baseline"/>
        <w:rPr>
          <w:rFonts w:ascii="Verdana" w:hAnsi="Verdana"/>
        </w:rPr>
      </w:pPr>
      <w:r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12D950E1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 xml:space="preserve">4.1. </w:t>
      </w:r>
      <w:r>
        <w:rPr>
          <w:rFonts w:ascii="Verdana" w:eastAsia="Arial" w:hAnsi="Verdana" w:cs="Arial"/>
          <w:color w:val="000000"/>
        </w:rPr>
        <w:t xml:space="preserve">A contratação pretendida tem consonância com o planejamento estratégico desta Instituição, uma vez que consta na sua programação orçamentária e financeira anual. </w:t>
      </w:r>
    </w:p>
    <w:p w14:paraId="36008FE5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4E9D1AF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5. DESCRIÇÃO DA NECESSIDADE</w:t>
      </w:r>
    </w:p>
    <w:p w14:paraId="7C200FE1" w14:textId="77777777" w:rsidR="009A10E8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>
        <w:rPr>
          <w:rFonts w:ascii="Verdana" w:hAnsi="Verdana"/>
          <w:color w:val="000000"/>
          <w:sz w:val="20"/>
          <w:szCs w:val="20"/>
        </w:rPr>
        <w:t xml:space="preserve">Contratação de empresa especializada, por meio de licitação, para prestação de serviços de arbitragem esportiva, nas modalidades especificadas neste ETP, na execução de eventos desportivos que serão realizados </w:t>
      </w:r>
      <w:r>
        <w:rPr>
          <w:rFonts w:ascii="Verdana" w:hAnsi="Verdana" w:cs="Arial"/>
          <w:color w:val="000000"/>
          <w:sz w:val="20"/>
          <w:szCs w:val="20"/>
        </w:rPr>
        <w:t xml:space="preserve">no Município de São Gabriel da Palha, sob organização desta Secretaria Municipal, conforme especificações e quantidades detalhadas </w:t>
      </w:r>
      <w:r>
        <w:rPr>
          <w:rFonts w:ascii="Verdana" w:hAnsi="Verdana" w:cs="Arial"/>
          <w:color w:val="000000"/>
          <w:sz w:val="20"/>
          <w:szCs w:val="20"/>
          <w:lang w:eastAsia="pt-BR"/>
        </w:rPr>
        <w:t>a seguir.</w:t>
      </w:r>
    </w:p>
    <w:p w14:paraId="750E13A3" w14:textId="77777777" w:rsidR="009A10E8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>5.2.</w:t>
      </w:r>
      <w:r>
        <w:rPr>
          <w:rFonts w:ascii="Verdana" w:eastAsia="Arial" w:hAnsi="Verdana" w:cs="Arial"/>
          <w:color w:val="000000"/>
          <w:sz w:val="20"/>
          <w:szCs w:val="20"/>
        </w:rPr>
        <w:t xml:space="preserve"> Diante da necessidade acima, iniciou-se o presente ETP, por meio do qual será possível decidir qual é a melhor solução.</w:t>
      </w:r>
    </w:p>
    <w:p w14:paraId="38143972" w14:textId="77777777" w:rsidR="009A10E8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>5.3.</w:t>
      </w:r>
      <w:r>
        <w:rPr>
          <w:rFonts w:ascii="Verdana" w:eastAsia="Arial" w:hAnsi="Verdana" w:cs="Arial"/>
          <w:color w:val="000000"/>
          <w:sz w:val="20"/>
          <w:szCs w:val="20"/>
        </w:rPr>
        <w:t xml:space="preserve"> A quantidade foi estimada com base na demanda de eventos esportivos promovidos anualmente, por esta Secretaria, dentro das modalidades de Futebol de Campo Amador.</w:t>
      </w:r>
    </w:p>
    <w:p w14:paraId="7AEC8D2C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>5.4.</w:t>
      </w:r>
      <w:r>
        <w:rPr>
          <w:rFonts w:ascii="Verdana" w:eastAsia="Arial" w:hAnsi="Verdana" w:cs="Arial"/>
          <w:color w:val="000000"/>
        </w:rPr>
        <w:t xml:space="preserve"> Ademais, os eventos esportivos denominados Campeonatos, nas modalidades acima apresentadas, potencializam e estimulam a visibilidade do esporte local. Nesta ótica, os referidos eventos, tornam pública a importância da prática de esportes coletivos, como elemento essencial a manutenção da saúde fisica, desenvolvimento de habilidades sociais, dentre outros benefícios.</w:t>
      </w:r>
    </w:p>
    <w:p w14:paraId="5FF0CB1E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>5.5.</w:t>
      </w:r>
      <w:r>
        <w:rPr>
          <w:rFonts w:ascii="Verdana" w:eastAsia="Arial" w:hAnsi="Verdana" w:cs="Arial"/>
          <w:color w:val="000000"/>
        </w:rPr>
        <w:t xml:space="preserve"> Sendo assim, para que os eventos sejam executados de forma justa e impessoal, a fim de manter a técnica, bem como regras específicas dentro de cada modalidade esportiva, faz-se necessária a presença de equipes de árbitros, para que se chegue aos resultados justos e mais corretos dentro das competições. </w:t>
      </w:r>
    </w:p>
    <w:p w14:paraId="33AD1ABC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lastRenderedPageBreak/>
        <w:t>5.6.</w:t>
      </w:r>
      <w:r>
        <w:rPr>
          <w:rFonts w:ascii="Verdana" w:eastAsia="Arial" w:hAnsi="Verdana" w:cs="Arial"/>
          <w:color w:val="000000"/>
        </w:rPr>
        <w:t xml:space="preserve"> A contratação pretendida tem consonância com o planejamento estratégico desta Instituição, uma vez que consta na sua programação orçamentária e financeira anual. </w:t>
      </w:r>
    </w:p>
    <w:p w14:paraId="12E77A29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554644E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iCs/>
          <w:color w:val="000000"/>
        </w:rPr>
        <w:t>6. ÁREA REQUISITANTE</w:t>
      </w:r>
    </w:p>
    <w:p w14:paraId="03CDE268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color w:val="000000"/>
        </w:rPr>
        <w:t>Secretaria Municipal de Esportes e Lazer.</w:t>
      </w:r>
    </w:p>
    <w:p w14:paraId="0C7361C3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i/>
          <w:color w:val="000000"/>
        </w:rPr>
      </w:pPr>
    </w:p>
    <w:p w14:paraId="417A2F3C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0772EFE2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 xml:space="preserve">7.1 </w:t>
      </w:r>
      <w:r>
        <w:rPr>
          <w:rFonts w:ascii="Verdana" w:eastAsia="Arial" w:hAnsi="Verdana" w:cs="Arial"/>
          <w:color w:val="000000"/>
        </w:rPr>
        <w:t>Os requisitos da contratação devem contemplar as exigências que a solução contratada deverá atender, incluindo os requisitos mínimos de qualidade, de modo a possibilitar a seleção da proposta mais vantajosa mediante competição.</w:t>
      </w:r>
    </w:p>
    <w:p w14:paraId="5F6977D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>7.2</w:t>
      </w:r>
      <w:r>
        <w:rPr>
          <w:rFonts w:ascii="Verdana" w:eastAsia="Arial" w:hAnsi="Verdana" w:cs="Arial"/>
          <w:color w:val="000000"/>
        </w:rPr>
        <w:t xml:space="preserve"> Os interessados em participar do Certame deverão ser pessoas jurídicas e ou Associações (adequada) com no mínimo 40% dos árbitros federados, devidamente inscritas no Cadastro Nacional de Pessoa Jurídica (C.N.P.J.), sendo necessário que seu ramo de atividade seja compatível com o objeto contratual. Deverá fornecer mão de obra especializada, ou seja, prestar o serviço com árbitros experientes, com formação técnica adequada e com cursos atualizados, fornecendo todo o material esportivo aos mesmos, tais como cartões, vestimenta adequada, bandeirinha, apito e outros adereços/ materiais que deem todas as condições necessárias a perfeita prestação do serviço, inclusive transporte da equipe.</w:t>
      </w:r>
    </w:p>
    <w:p w14:paraId="6C271233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color w:val="000000"/>
        </w:rPr>
        <w:t>7.3 Além disto, a empresa deverá dispor de árbitros técnicos, com a formação específica exigida pelos órgãos regulamentadores do ramo de prestação de serviços de arbitragem esportiva, conforme as modalidades a serem contratadas neste ETP.</w:t>
      </w:r>
    </w:p>
    <w:p w14:paraId="31F216FB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color w:val="000000"/>
        </w:rPr>
      </w:pPr>
    </w:p>
    <w:p w14:paraId="2F6856C1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8. ESTIMATIVA DAS QUANTIDADES A SEREM CONTRATADAS</w:t>
      </w:r>
    </w:p>
    <w:p w14:paraId="50D4ED19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8.1. </w:t>
      </w:r>
      <w:r>
        <w:rPr>
          <w:rFonts w:ascii="Verdana" w:hAnsi="Verdana" w:cs="Arial"/>
          <w:color w:val="000000"/>
        </w:rPr>
        <w:t>A relação do item necessário para contemplar a solução, bem como a estimativa da quantidade a ser contratada é apresentada na tabela a seguir.</w:t>
      </w:r>
    </w:p>
    <w:tbl>
      <w:tblPr>
        <w:tblW w:w="9045" w:type="dxa"/>
        <w:tblInd w:w="1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6545"/>
        <w:gridCol w:w="1658"/>
      </w:tblGrid>
      <w:tr w:rsidR="009A10E8" w14:paraId="45B31D5B" w14:textId="77777777">
        <w:trPr>
          <w:trHeight w:val="39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8C0C3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7A2CC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MÃO DE OBRA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D6186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</w:tr>
      <w:tr w:rsidR="009A10E8" w14:paraId="647E589D" w14:textId="77777777">
        <w:trPr>
          <w:trHeight w:val="269"/>
        </w:trPr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A176F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6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1BBF6" w14:textId="77777777" w:rsidR="009A10E8" w:rsidRDefault="00000000">
            <w:pPr>
              <w:pStyle w:val="Contedodatabela"/>
              <w:widowControl w:val="0"/>
              <w:spacing w:before="57" w:after="57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color w:val="000000"/>
                <w:lang w:bidi="hi-IN"/>
              </w:rPr>
              <w:t>ARBITRAGEM</w:t>
            </w:r>
            <w:r>
              <w:rPr>
                <w:rFonts w:ascii="Verdana" w:hAnsi="Verdana"/>
                <w:color w:val="000000"/>
                <w:lang w:bidi="hi-IN"/>
              </w:rPr>
              <w:br/>
              <w:t>Serviço de arbitragem com equipe composta por:</w:t>
            </w:r>
            <w:r>
              <w:rPr>
                <w:rFonts w:ascii="Verdana" w:hAnsi="Verdana"/>
                <w:color w:val="000000"/>
                <w:lang w:bidi="hi-IN"/>
              </w:rPr>
              <w:br/>
              <w:t>01 (um) árbitro</w:t>
            </w:r>
            <w:r>
              <w:rPr>
                <w:rFonts w:ascii="Verdana" w:hAnsi="Verdana"/>
                <w:color w:val="000000"/>
                <w:lang w:bidi="hi-IN"/>
              </w:rPr>
              <w:br/>
              <w:t>02 (dois) árbitros assistentes</w:t>
            </w:r>
            <w:r>
              <w:rPr>
                <w:rFonts w:ascii="Verdana" w:hAnsi="Verdana"/>
                <w:color w:val="000000"/>
                <w:lang w:bidi="hi-IN"/>
              </w:rPr>
              <w:br/>
              <w:t>01 (um) 4° árbitro</w:t>
            </w:r>
            <w:r>
              <w:rPr>
                <w:rFonts w:ascii="Verdana" w:hAnsi="Verdana"/>
                <w:color w:val="000000"/>
                <w:lang w:bidi="hi-IN"/>
              </w:rPr>
              <w:br/>
              <w:t>campeonato municipal de futebol de campo amador masculino.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4C6E0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70</w:t>
            </w:r>
          </w:p>
        </w:tc>
      </w:tr>
    </w:tbl>
    <w:p w14:paraId="5E1A65AF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b/>
          <w:color w:val="000000"/>
        </w:rPr>
      </w:pPr>
    </w:p>
    <w:p w14:paraId="35BBE4EF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 xml:space="preserve">8.2. </w:t>
      </w:r>
      <w:r>
        <w:rPr>
          <w:rFonts w:ascii="Verdana" w:eastAsia="Arial" w:hAnsi="Verdana" w:cs="Arial"/>
          <w:color w:val="000000"/>
        </w:rPr>
        <w:t>A quantidade de prestação de serviços, técnicos que compõem as equipes de arbitragem, são para atendimento da demanda atual de eventos esportivos que serão promovidos ao longo de 2025.</w:t>
      </w:r>
    </w:p>
    <w:p w14:paraId="044A700E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color w:val="000000"/>
        </w:rPr>
      </w:pPr>
    </w:p>
    <w:p w14:paraId="36B98AA6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color w:val="000000"/>
        </w:rPr>
      </w:pPr>
    </w:p>
    <w:p w14:paraId="0708D9AD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8.3 CRONOGRAMA DE PREVISÃO DE JOGOS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32"/>
        <w:gridCol w:w="3449"/>
      </w:tblGrid>
      <w:tr w:rsidR="009A10E8" w14:paraId="26FF19A2" w14:textId="77777777">
        <w:tc>
          <w:tcPr>
            <w:tcW w:w="5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936D61" w14:textId="77777777" w:rsidR="009A10E8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b/>
                <w:bCs/>
                <w:color w:val="000000"/>
                <w:lang w:bidi="hi-IN"/>
              </w:rPr>
              <w:t>MODALIDADE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81089" w14:textId="77777777" w:rsidR="009A10E8" w:rsidRDefault="00000000">
            <w:pPr>
              <w:pStyle w:val="Contedodatabela"/>
              <w:widowControl w:val="0"/>
              <w:spacing w:before="57" w:after="57"/>
              <w:jc w:val="center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b/>
                <w:bCs/>
                <w:color w:val="000000"/>
                <w:lang w:bidi="hi-IN"/>
              </w:rPr>
              <w:t>MÊS</w:t>
            </w:r>
          </w:p>
        </w:tc>
      </w:tr>
      <w:tr w:rsidR="009A10E8" w14:paraId="0C1AD2C4" w14:textId="77777777">
        <w:tc>
          <w:tcPr>
            <w:tcW w:w="5663" w:type="dxa"/>
            <w:tcBorders>
              <w:left w:val="single" w:sz="4" w:space="0" w:color="000000"/>
              <w:bottom w:val="single" w:sz="4" w:space="0" w:color="000000"/>
            </w:tcBorders>
          </w:tcPr>
          <w:p w14:paraId="238728BB" w14:textId="77777777" w:rsidR="009A10E8" w:rsidRDefault="00000000">
            <w:pPr>
              <w:pStyle w:val="Contedodatabela"/>
              <w:widowControl w:val="0"/>
              <w:spacing w:before="57" w:after="57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color w:val="000000"/>
                <w:lang w:bidi="hi-IN"/>
              </w:rPr>
              <w:t>Campeonato Municipal de Futebol de Campo Amador</w:t>
            </w:r>
          </w:p>
        </w:tc>
        <w:tc>
          <w:tcPr>
            <w:tcW w:w="3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4F59" w14:textId="77777777" w:rsidR="009A10E8" w:rsidRDefault="00000000">
            <w:pPr>
              <w:pStyle w:val="Contedodatabela"/>
              <w:widowControl w:val="0"/>
              <w:spacing w:before="57" w:after="57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color w:val="000000"/>
                <w:lang w:bidi="hi-IN"/>
              </w:rPr>
              <w:t>Ano de 2025</w:t>
            </w:r>
          </w:p>
        </w:tc>
      </w:tr>
    </w:tbl>
    <w:p w14:paraId="7C145CFA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343FD05E" w14:textId="77777777" w:rsidR="009A10E8" w:rsidRDefault="00000000">
      <w:pPr>
        <w:spacing w:before="57" w:after="57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9. LEVANTAMENTO DE MERCADO</w:t>
      </w:r>
    </w:p>
    <w:p w14:paraId="0F296F3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 xml:space="preserve">9.1.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39BFB8D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lastRenderedPageBreak/>
        <w:t>9.2.</w:t>
      </w:r>
      <w:r>
        <w:rPr>
          <w:rFonts w:ascii="Verdana" w:hAnsi="Verdana" w:cs="Arial"/>
          <w:color w:val="000000"/>
        </w:rPr>
        <w:t xml:space="preserve"> </w:t>
      </w:r>
      <w:r>
        <w:rPr>
          <w:rFonts w:ascii="Verdana" w:hAnsi="Verdana" w:cs="Arial"/>
          <w:bCs/>
          <w:color w:val="000000"/>
        </w:rPr>
        <w:t>Após o levantamento de mercado apurou-se que as descrições contidas neste ETP são necessárias para garantir a manutenção da qualidade da contratação pretendida, facilidade de participação de fornecedores e o pleno atendimentos das necessidades apresentadas, exigindo-se da empresa contratada o compromisso de prestação de serviços de arbitragem, de acordo com as necessidades desta secretaria, em tempo hábil.</w:t>
      </w:r>
    </w:p>
    <w:p w14:paraId="520E2C02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04BB3620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10. DESCRIÇÃO DA SOLUÇÃO COMO UM TODO</w:t>
      </w:r>
    </w:p>
    <w:p w14:paraId="1D182499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10.1</w:t>
      </w:r>
      <w:r>
        <w:rPr>
          <w:rFonts w:ascii="Verdana" w:hAnsi="Verdana" w:cs="Arial"/>
          <w:color w:val="000000"/>
        </w:rPr>
        <w:t xml:space="preserve"> A solução a ser adotada consiste na Contratação de empresa especializada, por meio de licitação, prestação de serviços de arbitragem esportiva, conforme já detalhado no item n. 5, deste ETP.</w:t>
      </w:r>
    </w:p>
    <w:p w14:paraId="4240B32F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10.2</w:t>
      </w:r>
      <w:r>
        <w:rPr>
          <w:rFonts w:ascii="Verdana" w:hAnsi="Verdana" w:cs="Arial"/>
          <w:color w:val="000000"/>
        </w:rPr>
        <w:t xml:space="preserve"> Tal solução é baseada na demanda de eventos esportivos do município devido ao grande número de modalidades que serão disputadas ao longo do ano conforme planejamento desta SEMEL. </w:t>
      </w:r>
    </w:p>
    <w:p w14:paraId="4726F55B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10.3 </w:t>
      </w:r>
      <w:r>
        <w:rPr>
          <w:rFonts w:ascii="Verdana" w:hAnsi="Verdana" w:cs="Arial"/>
          <w:color w:val="000000"/>
        </w:rPr>
        <w:t>A contratação para a contratação da prestação de serviços deverá obedecer, no que couber, ao disposto na Lei n.º 14.133/2021 e suas alterações.</w:t>
      </w:r>
    </w:p>
    <w:p w14:paraId="3C9F7163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10.4. Definição e justificativa de caracterização do objeto e prazos da contratação</w:t>
      </w:r>
    </w:p>
    <w:p w14:paraId="4BCDA7D3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10.4.1.</w:t>
      </w:r>
      <w:r>
        <w:rPr>
          <w:rFonts w:ascii="Verdana" w:hAnsi="Verdana" w:cs="Arial"/>
          <w:color w:val="000000"/>
        </w:rPr>
        <w:t xml:space="preserve"> A demanda a ser contratada é a contratação de empresa especializada, para prestação de serviços de arbitragem esportiva, conforme quantidades e especificações definidas no Projeto Básico.  Ademais, objetiva-se à facilidade na participação de empresas do ramo, atendendo plenamente as necessidades apresentadas e agilidade na prestação de serviços pela contratada.</w:t>
      </w:r>
    </w:p>
    <w:p w14:paraId="2BAC20B8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  <w:color w:val="000000"/>
        </w:rPr>
        <w:t xml:space="preserve">10.4.2. </w:t>
      </w:r>
      <w:r>
        <w:rPr>
          <w:rFonts w:ascii="Verdana" w:eastAsia="Arial" w:hAnsi="Verdana" w:cs="Arial"/>
          <w:color w:val="000000"/>
        </w:rPr>
        <w:t>A referida contratação, para prestação do serviço acima mencionado, será formalizada através da emissão de autorização de fornecimento, acompanhada de contrato, confeccionados pelo Departamento de Compras e Contratos.</w:t>
      </w:r>
    </w:p>
    <w:p w14:paraId="05700F3C" w14:textId="77777777" w:rsidR="009A10E8" w:rsidRDefault="009A10E8">
      <w:pPr>
        <w:spacing w:before="57" w:after="57"/>
        <w:jc w:val="both"/>
        <w:rPr>
          <w:rFonts w:ascii="Verdana" w:eastAsia="Arial" w:hAnsi="Verdana" w:cs="Arial"/>
          <w:b/>
          <w:color w:val="000000"/>
        </w:rPr>
      </w:pPr>
    </w:p>
    <w:p w14:paraId="370522DA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11. ESTIMATIVA DO VALOR DA CONTRATAÇÃO:</w:t>
      </w:r>
    </w:p>
    <w:p w14:paraId="5B16C58F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 xml:space="preserve">11.1 </w:t>
      </w:r>
      <w:r>
        <w:rPr>
          <w:rFonts w:ascii="Verdana" w:hAnsi="Verdana" w:cs="Arial"/>
          <w:color w:val="000000"/>
        </w:rPr>
        <w:t>O valor global estimado da contratação é de R$ 115.000,00, constante da planilha que se segue, e o valor final da contratação deverá ser empenhado e liquidado na ficha 335, Fonte 1500000.</w:t>
      </w:r>
    </w:p>
    <w:p w14:paraId="13A5D9EA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11.2</w:t>
      </w:r>
      <w:r>
        <w:rPr>
          <w:rFonts w:ascii="Verdana" w:hAnsi="Verdana" w:cs="Arial"/>
          <w:color w:val="000000"/>
        </w:rPr>
        <w:t xml:space="preserve"> </w:t>
      </w:r>
      <w:r>
        <w:rPr>
          <w:rFonts w:ascii="Verdana" w:hAnsi="Verdana" w:cs="Arial"/>
          <w:b/>
          <w:color w:val="000000"/>
        </w:rPr>
        <w:t>PLANILHA ESTIMATIVA DA CONTRATAÇÃO:</w:t>
      </w:r>
    </w:p>
    <w:tbl>
      <w:tblPr>
        <w:tblW w:w="915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4594"/>
        <w:gridCol w:w="748"/>
        <w:gridCol w:w="1408"/>
        <w:gridCol w:w="1594"/>
      </w:tblGrid>
      <w:tr w:rsidR="009A10E8" w14:paraId="2652964A" w14:textId="77777777">
        <w:trPr>
          <w:trHeight w:val="269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5AD1D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LOTE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F19D6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SERVIÇO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EFA97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3026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VALOR  UNITÁRIO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3EB9C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  <w:color w:val="000000"/>
              </w:rPr>
              <w:t>VALOR TOTAL</w:t>
            </w:r>
          </w:p>
        </w:tc>
      </w:tr>
      <w:tr w:rsidR="009A10E8" w14:paraId="6D779949" w14:textId="77777777">
        <w:trPr>
          <w:trHeight w:val="269"/>
        </w:trPr>
        <w:tc>
          <w:tcPr>
            <w:tcW w:w="8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C6DD3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E026D" w14:textId="77777777" w:rsidR="009A10E8" w:rsidRDefault="00000000">
            <w:pPr>
              <w:pStyle w:val="Contedodatabela"/>
              <w:widowControl w:val="0"/>
              <w:spacing w:before="57" w:after="57"/>
              <w:rPr>
                <w:rFonts w:ascii="Verdana" w:hAnsi="Verdana"/>
                <w:lang w:bidi="hi-IN"/>
              </w:rPr>
            </w:pPr>
            <w:r>
              <w:rPr>
                <w:rFonts w:ascii="Verdana" w:hAnsi="Verdana"/>
                <w:color w:val="000000"/>
                <w:lang w:bidi="hi-IN"/>
              </w:rPr>
              <w:t>ARBITRAGEM</w:t>
            </w:r>
            <w:r>
              <w:rPr>
                <w:rFonts w:ascii="Verdana" w:hAnsi="Verdana"/>
                <w:color w:val="000000"/>
                <w:lang w:bidi="hi-IN"/>
              </w:rPr>
              <w:br/>
              <w:t>Serviço de arbitragem com equipe composta por:</w:t>
            </w:r>
            <w:r>
              <w:rPr>
                <w:rFonts w:ascii="Verdana" w:hAnsi="Verdana"/>
                <w:color w:val="000000"/>
                <w:lang w:bidi="hi-IN"/>
              </w:rPr>
              <w:br/>
              <w:t>01 (um) árbitro</w:t>
            </w:r>
            <w:r>
              <w:rPr>
                <w:rFonts w:ascii="Verdana" w:hAnsi="Verdana"/>
                <w:color w:val="000000"/>
                <w:lang w:bidi="hi-IN"/>
              </w:rPr>
              <w:br/>
              <w:t>02 (dois) árbitros assistentes</w:t>
            </w:r>
            <w:r>
              <w:rPr>
                <w:rFonts w:ascii="Verdana" w:hAnsi="Verdana"/>
                <w:color w:val="000000"/>
                <w:lang w:bidi="hi-IN"/>
              </w:rPr>
              <w:br/>
              <w:t>01 (um) 4° árbitro</w:t>
            </w:r>
            <w:r>
              <w:rPr>
                <w:rFonts w:ascii="Verdana" w:hAnsi="Verdana"/>
                <w:color w:val="000000"/>
                <w:lang w:bidi="hi-IN"/>
              </w:rPr>
              <w:br/>
              <w:t>campeonato municipal de futebol de campo amador masculino.</w:t>
            </w: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01A71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70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32ADB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R$  995,00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EA2C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R$ 69.650,00</w:t>
            </w:r>
          </w:p>
        </w:tc>
      </w:tr>
      <w:tr w:rsidR="009A10E8" w14:paraId="063E45DF" w14:textId="77777777">
        <w:trPr>
          <w:trHeight w:val="269"/>
        </w:trPr>
        <w:tc>
          <w:tcPr>
            <w:tcW w:w="755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076BD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SUBTOTAL</w:t>
            </w:r>
          </w:p>
        </w:tc>
        <w:tc>
          <w:tcPr>
            <w:tcW w:w="15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7F5D1" w14:textId="77777777" w:rsidR="009A10E8" w:rsidRDefault="00000000">
            <w:pPr>
              <w:widowControl w:val="0"/>
              <w:spacing w:before="57" w:after="5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R$ 69.650,00</w:t>
            </w:r>
          </w:p>
        </w:tc>
      </w:tr>
    </w:tbl>
    <w:p w14:paraId="1E0B218E" w14:textId="77777777" w:rsidR="009A10E8" w:rsidRDefault="009A10E8">
      <w:pPr>
        <w:spacing w:before="57" w:after="57"/>
        <w:jc w:val="both"/>
        <w:rPr>
          <w:rFonts w:ascii="Verdana" w:hAnsi="Verdana"/>
          <w:color w:val="000000"/>
        </w:rPr>
      </w:pPr>
    </w:p>
    <w:p w14:paraId="2C12F823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6EC62F5A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12.1.</w:t>
      </w:r>
      <w:r>
        <w:rPr>
          <w:rFonts w:ascii="Verdana" w:hAnsi="Verdana" w:cs="Arial"/>
          <w:color w:val="000000"/>
        </w:rPr>
        <w:t xml:space="preserve"> O objeto da contratação será composto por 04 itens, de acordo com o especificado nas tabelas anteriores</w:t>
      </w:r>
      <w:r>
        <w:rPr>
          <w:rFonts w:ascii="Verdana" w:hAnsi="Verdana" w:cs="Arial"/>
          <w:b/>
          <w:bCs/>
          <w:color w:val="000000"/>
        </w:rPr>
        <w:t xml:space="preserve">. </w:t>
      </w:r>
      <w:r>
        <w:rPr>
          <w:rFonts w:ascii="Verdana" w:hAnsi="Verdana" w:cs="Arial"/>
          <w:color w:val="000000"/>
        </w:rPr>
        <w:t xml:space="preserve">Para fins de classificação, será considerado o </w:t>
      </w:r>
      <w:r>
        <w:rPr>
          <w:rFonts w:ascii="Verdana" w:hAnsi="Verdana" w:cs="Arial"/>
          <w:b/>
          <w:color w:val="000000"/>
        </w:rPr>
        <w:t>menor preço global</w:t>
      </w:r>
      <w:r>
        <w:rPr>
          <w:rFonts w:ascii="Verdana" w:hAnsi="Verdana" w:cs="Arial"/>
          <w:color w:val="000000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4138B54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lastRenderedPageBreak/>
        <w:t>12.2</w:t>
      </w:r>
      <w:r>
        <w:rPr>
          <w:rFonts w:ascii="Verdana" w:hAnsi="Verdana" w:cs="Arial"/>
          <w:color w:val="000000"/>
        </w:rPr>
        <w:t xml:space="preserve"> A prestação de serviços, objeto deste ETP, será executada conforme a promoção dos eventos ao longo do ano de 2025. Os pagamentos serão realizados a medida que os eventos forem promovidos, mediante apresentação, pela empresa, de nota fiscal específica, para cada prestação de serviço efetivamente executada.</w:t>
      </w:r>
    </w:p>
    <w:p w14:paraId="3CD4E444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4E45DADF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13. CONTRATAÇÕES CORRELATAS E/OU INTERDEPENDENTES</w:t>
      </w:r>
    </w:p>
    <w:p w14:paraId="68EA7281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13.1.</w:t>
      </w:r>
      <w:r>
        <w:rPr>
          <w:rFonts w:ascii="Verdana" w:hAnsi="Verdana" w:cs="Arial"/>
          <w:color w:val="000000"/>
        </w:rPr>
        <w:t xml:space="preserve"> Não se verifica contratações correlatas ou interdependentes para a viabilidade e contratação desta demanda.</w:t>
      </w:r>
    </w:p>
    <w:p w14:paraId="0537A25F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425CD261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14. RESULTADOS PRETENDIDOS COM A CONTRATAÇÃO</w:t>
      </w:r>
    </w:p>
    <w:p w14:paraId="7DFFB218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14.1</w:t>
      </w:r>
      <w:r>
        <w:rPr>
          <w:rFonts w:ascii="Verdana" w:hAnsi="Verdana" w:cs="Arial"/>
          <w:color w:val="000000"/>
        </w:rPr>
        <w:t xml:space="preserve"> Com a aquisição pretendida, buscaremos suprir as necessidades desta Secretaria Municipal, na promoção de eventos esportivos promovidos ao longo do exercício de 2025.</w:t>
      </w:r>
    </w:p>
    <w:p w14:paraId="55604146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14.2 </w:t>
      </w:r>
      <w:r>
        <w:rPr>
          <w:rFonts w:ascii="Verdana" w:hAnsi="Verdana" w:cs="Arial"/>
          <w:color w:val="000000"/>
        </w:rPr>
        <w:t xml:space="preserve">Além disto, pretende-se, com o presente processo licitatório, assegurar a seleção da proposta apta a gerar a contratação mais vantajosa para o Município. Objetiva-se, igualmente, assegurar tratamento isonômico entre os licitantes, bem como a justa competição, bem como evitar contratação com sobrepreço ou com preço manifestamente inexequível e superfaturamento na execução do contrato. A contratação decorrente deste ETP, exigirá da contratada o cumprimento das boas práticas de sustentabilidade, contribuindo para a racionalização e otimização do uso dos recursos, bem como para a redução dos impactos ambientais </w:t>
      </w:r>
    </w:p>
    <w:p w14:paraId="68B4EC53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7FDB1A71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 PROVIDÊNCIAS A SEREM ADOTADAS</w:t>
      </w:r>
    </w:p>
    <w:p w14:paraId="13926FA4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15.1 Recursos materiais e humanos</w:t>
      </w:r>
    </w:p>
    <w:p w14:paraId="73D1B387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15.1.1.</w:t>
      </w:r>
      <w:r>
        <w:rPr>
          <w:rFonts w:ascii="Verdana" w:hAnsi="Verdana" w:cs="Arial"/>
          <w:color w:val="000000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4EE130C9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15.2.</w:t>
      </w:r>
      <w:r>
        <w:rPr>
          <w:rFonts w:ascii="Verdana" w:hAnsi="Verdana" w:cs="Arial"/>
          <w:color w:val="000000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>
        <w:rPr>
          <w:rFonts w:ascii="Verdana" w:hAnsi="Verdana"/>
          <w:color w:val="000000"/>
        </w:rPr>
        <w:t>(Técnicos e Administrativos)</w:t>
      </w:r>
      <w:r>
        <w:rPr>
          <w:rFonts w:ascii="Verdana" w:hAnsi="Verdana" w:cs="Arial"/>
          <w:color w:val="000000"/>
        </w:rPr>
        <w:t>. Deveram ser nomeados quantidade de fiscais suficientes para um efetivo acompanhamento da execução do contrato.</w:t>
      </w:r>
    </w:p>
    <w:p w14:paraId="30197AD8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15.3 Descontinuidades da Prestação do Serviço</w:t>
      </w:r>
    </w:p>
    <w:p w14:paraId="5C8A728E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15.3.1. </w:t>
      </w:r>
      <w:r>
        <w:rPr>
          <w:rFonts w:ascii="Verdana" w:hAnsi="Verdana" w:cs="Arial"/>
          <w:color w:val="000000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4659935E" w14:textId="77777777" w:rsidR="009A10E8" w:rsidRDefault="009A10E8">
      <w:pPr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7577588F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16. POSSÍVEIS IMPACTOS AMBIENTAIS</w:t>
      </w:r>
    </w:p>
    <w:p w14:paraId="7E8D56DD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Não haverá danos ao meio ambiente uma vez que os serviços não gerarão tal problema</w:t>
      </w:r>
      <w:r>
        <w:rPr>
          <w:rFonts w:ascii="Verdana" w:hAnsi="Verdana" w:cs="Arial"/>
          <w:b/>
          <w:color w:val="000000"/>
        </w:rPr>
        <w:t>.</w:t>
      </w:r>
      <w:r>
        <w:rPr>
          <w:rFonts w:ascii="Verdana" w:hAnsi="Verdana" w:cs="Arial"/>
          <w:color w:val="000000"/>
        </w:rPr>
        <w:t xml:space="preserve"> </w:t>
      </w:r>
    </w:p>
    <w:p w14:paraId="0F4A524D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31440ABF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17. DECLARAÇÕES DE VIABILIDADE</w:t>
      </w:r>
    </w:p>
    <w:p w14:paraId="1A5D12C3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O responsável pelo planejamento deste ETP e de acordo com a autoridade deste requerente, declara viável esta contratação/aquisição. </w:t>
      </w:r>
    </w:p>
    <w:p w14:paraId="7FA5805A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0B3A01C6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18. JUSTIFICATIVAS DA VIABILIDADE</w:t>
      </w:r>
    </w:p>
    <w:p w14:paraId="4B62ACD2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Considerando que o objeto em tela trata-se de iniciativa da Secretaria Municipal de Esportes e Lazer, no sentido da Contratação de empresa especializada, por meio de licitação, para prestação de serviços arbitragem  esportiva;</w:t>
      </w:r>
    </w:p>
    <w:p w14:paraId="238CCE5B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>Considerando que esta Municipalidade não possui servidores técnicos/ árbitros, tampouco empresa já contratada para esta finalidade, é imprescindível tal contratação, a fim de garantir a boa execução dos  eventos esportivos (campeonatos), que serão promovidos por esta Secretaria Municipal, durante  o exercício de 2025.</w:t>
      </w:r>
    </w:p>
    <w:p w14:paraId="6BD53945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lastRenderedPageBreak/>
        <w:t>Considerando, por fim, as necessidades e justificativas apresentadas nos itens 5 e 10, deste ETP, justifica-se a viabilidade da contratação pretendida.</w:t>
      </w:r>
    </w:p>
    <w:p w14:paraId="6E02FF74" w14:textId="77777777" w:rsidR="009A10E8" w:rsidRDefault="009A10E8">
      <w:pPr>
        <w:spacing w:before="57" w:after="57"/>
        <w:jc w:val="both"/>
        <w:rPr>
          <w:rFonts w:ascii="Verdana" w:hAnsi="Verdana" w:cs="Arial"/>
          <w:color w:val="000000"/>
        </w:rPr>
      </w:pPr>
    </w:p>
    <w:p w14:paraId="040EFADB" w14:textId="77777777" w:rsidR="009A10E8" w:rsidRDefault="00000000">
      <w:pPr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color w:val="000000"/>
        </w:rPr>
        <w:t xml:space="preserve">São Gabriel da Palha, 07 de abril  de 2025. </w:t>
      </w:r>
    </w:p>
    <w:p w14:paraId="4DBA64D2" w14:textId="77777777" w:rsidR="009A10E8" w:rsidRDefault="009A10E8">
      <w:pPr>
        <w:spacing w:before="57" w:after="57"/>
        <w:jc w:val="right"/>
        <w:rPr>
          <w:rFonts w:ascii="Verdana" w:hAnsi="Verdana" w:cs="Arial"/>
          <w:color w:val="000000"/>
        </w:rPr>
      </w:pPr>
    </w:p>
    <w:p w14:paraId="02BAAE26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19. RESPONSÁVEIS</w:t>
      </w:r>
    </w:p>
    <w:p w14:paraId="4EB7A3D2" w14:textId="77777777" w:rsidR="009A10E8" w:rsidRDefault="00000000">
      <w:pPr>
        <w:suppressAutoHyphens w:val="0"/>
        <w:spacing w:before="57" w:after="57"/>
        <w:jc w:val="both"/>
        <w:rPr>
          <w:rFonts w:ascii="Verdana" w:hAnsi="Verdana"/>
        </w:rPr>
      </w:pPr>
      <w:r>
        <w:rPr>
          <w:rFonts w:ascii="Verdana" w:hAnsi="Verdana" w:cs="Arial"/>
          <w:b/>
          <w:color w:val="000000"/>
        </w:rPr>
        <w:t>19.1. Elaborado por:</w:t>
      </w:r>
    </w:p>
    <w:p w14:paraId="76149C16" w14:textId="77777777" w:rsidR="009A10E8" w:rsidRDefault="009A10E8">
      <w:pPr>
        <w:suppressAutoHyphens w:val="0"/>
        <w:spacing w:before="57" w:after="57"/>
        <w:jc w:val="both"/>
        <w:rPr>
          <w:rFonts w:ascii="Verdana" w:hAnsi="Verdana" w:cs="Arial"/>
          <w:b/>
          <w:color w:val="000000"/>
        </w:rPr>
      </w:pPr>
    </w:p>
    <w:p w14:paraId="0FB4DEF2" w14:textId="77777777" w:rsidR="009A10E8" w:rsidRDefault="00000000">
      <w:pPr>
        <w:spacing w:before="57" w:after="57"/>
        <w:jc w:val="center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BRISSA BIAZATTI</w:t>
      </w:r>
    </w:p>
    <w:p w14:paraId="28D9B392" w14:textId="77777777" w:rsidR="009A10E8" w:rsidRDefault="00000000">
      <w:pPr>
        <w:spacing w:before="57" w:after="57"/>
        <w:jc w:val="center"/>
        <w:rPr>
          <w:rFonts w:ascii="Verdana" w:hAnsi="Verdana"/>
        </w:rPr>
      </w:pPr>
      <w:r>
        <w:rPr>
          <w:rFonts w:ascii="Verdana" w:hAnsi="Verdana" w:cs="Arial"/>
          <w:color w:val="000000"/>
        </w:rPr>
        <w:t>Assistente Administrativo</w:t>
      </w:r>
    </w:p>
    <w:p w14:paraId="42CAB0B8" w14:textId="77777777" w:rsidR="009A10E8" w:rsidRDefault="00000000">
      <w:pPr>
        <w:spacing w:before="57" w:after="57"/>
        <w:jc w:val="center"/>
        <w:rPr>
          <w:rFonts w:ascii="Verdana" w:hAnsi="Verdana"/>
        </w:rPr>
      </w:pPr>
      <w:r>
        <w:rPr>
          <w:rFonts w:ascii="Verdana" w:hAnsi="Verdana" w:cs="Arial"/>
          <w:color w:val="000000"/>
        </w:rPr>
        <w:t>Mat. n. 4003</w:t>
      </w:r>
    </w:p>
    <w:p w14:paraId="74EA6406" w14:textId="77777777" w:rsidR="009A10E8" w:rsidRDefault="009A10E8">
      <w:pPr>
        <w:spacing w:before="57" w:after="57"/>
        <w:jc w:val="center"/>
        <w:rPr>
          <w:rFonts w:ascii="Verdana" w:hAnsi="Verdana"/>
        </w:rPr>
      </w:pPr>
    </w:p>
    <w:p w14:paraId="5F0C2A92" w14:textId="77777777" w:rsidR="009A10E8" w:rsidRDefault="00000000">
      <w:pPr>
        <w:spacing w:before="57" w:after="57"/>
        <w:rPr>
          <w:rFonts w:ascii="Verdana" w:hAnsi="Verdana"/>
        </w:rPr>
      </w:pPr>
      <w:r>
        <w:rPr>
          <w:rFonts w:ascii="Verdana" w:eastAsia="Arial" w:hAnsi="Verdana" w:cs="Arial"/>
          <w:b/>
          <w:color w:val="000000"/>
        </w:rPr>
        <w:t>19.2. Autorizado por:</w:t>
      </w:r>
    </w:p>
    <w:p w14:paraId="70CA0E8F" w14:textId="77777777" w:rsidR="009A10E8" w:rsidRDefault="009A10E8">
      <w:pPr>
        <w:spacing w:before="57" w:after="57"/>
        <w:rPr>
          <w:rFonts w:ascii="Verdana" w:eastAsia="Arial" w:hAnsi="Verdana" w:cs="Arial"/>
          <w:color w:val="000000"/>
        </w:rPr>
      </w:pPr>
    </w:p>
    <w:p w14:paraId="129D76E4" w14:textId="77777777" w:rsidR="009A10E8" w:rsidRDefault="009A10E8">
      <w:pPr>
        <w:spacing w:before="57" w:after="57"/>
        <w:rPr>
          <w:rFonts w:ascii="Verdana" w:eastAsia="Arial" w:hAnsi="Verdana" w:cs="Arial"/>
          <w:color w:val="000000"/>
        </w:rPr>
      </w:pPr>
    </w:p>
    <w:p w14:paraId="3DE6D4E1" w14:textId="77777777" w:rsidR="009A10E8" w:rsidRDefault="00000000">
      <w:pPr>
        <w:spacing w:before="57" w:after="57"/>
        <w:jc w:val="center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>JOSÉ LUIZ VIAL</w:t>
      </w:r>
    </w:p>
    <w:p w14:paraId="5B81A396" w14:textId="77777777" w:rsidR="009A10E8" w:rsidRDefault="00000000">
      <w:pPr>
        <w:spacing w:before="57" w:after="57"/>
        <w:jc w:val="center"/>
        <w:rPr>
          <w:rFonts w:ascii="Verdana" w:hAnsi="Verdana"/>
        </w:rPr>
      </w:pPr>
      <w:r>
        <w:rPr>
          <w:rFonts w:ascii="Verdana" w:hAnsi="Verdana" w:cs="Arial"/>
          <w:color w:val="000000"/>
        </w:rPr>
        <w:t>Secretário Municipal de Esporte e Lazer</w:t>
      </w:r>
    </w:p>
    <w:p w14:paraId="176DA842" w14:textId="77777777" w:rsidR="009A10E8" w:rsidRDefault="009A10E8">
      <w:pPr>
        <w:widowControl w:val="0"/>
        <w:tabs>
          <w:tab w:val="left" w:pos="0"/>
        </w:tabs>
        <w:spacing w:before="57" w:after="57"/>
        <w:jc w:val="center"/>
        <w:rPr>
          <w:rFonts w:ascii="Verdana" w:eastAsia="Arial" w:hAnsi="Verdana" w:cs="Arial"/>
        </w:rPr>
      </w:pPr>
    </w:p>
    <w:p w14:paraId="64DC9BA1" w14:textId="77777777" w:rsidR="009A10E8" w:rsidRDefault="009A10E8">
      <w:pPr>
        <w:spacing w:before="57" w:after="57"/>
        <w:jc w:val="both"/>
        <w:rPr>
          <w:rFonts w:ascii="Verdana" w:hAnsi="Verdana"/>
          <w:color w:val="158466"/>
        </w:rPr>
      </w:pPr>
    </w:p>
    <w:sectPr w:rsidR="009A10E8">
      <w:headerReference w:type="even" r:id="rId7"/>
      <w:headerReference w:type="default" r:id="rId8"/>
      <w:headerReference w:type="first" r:id="rId9"/>
      <w:pgSz w:w="11906" w:h="16838"/>
      <w:pgMar w:top="1440" w:right="1134" w:bottom="886" w:left="1701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8E81" w14:textId="77777777" w:rsidR="00F2540D" w:rsidRDefault="00F2540D">
      <w:r>
        <w:separator/>
      </w:r>
    </w:p>
  </w:endnote>
  <w:endnote w:type="continuationSeparator" w:id="0">
    <w:p w14:paraId="2012B2A2" w14:textId="77777777" w:rsidR="00F2540D" w:rsidRDefault="00F2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5041" w14:textId="77777777" w:rsidR="00F2540D" w:rsidRDefault="00F2540D">
      <w:r>
        <w:separator/>
      </w:r>
    </w:p>
  </w:footnote>
  <w:footnote w:type="continuationSeparator" w:id="0">
    <w:p w14:paraId="44F8403C" w14:textId="77777777" w:rsidR="00F2540D" w:rsidRDefault="00F2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2496" w14:textId="77777777" w:rsidR="009A10E8" w:rsidRDefault="009A10E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05670" w14:textId="77777777" w:rsidR="009A10E8" w:rsidRDefault="00000000">
    <w:pPr>
      <w:jc w:val="center"/>
      <w:rPr>
        <w:rFonts w:ascii="Verdana" w:hAnsi="Verdana" w:cs="Verdana"/>
        <w:sz w:val="26"/>
        <w:szCs w:val="26"/>
      </w:rPr>
    </w:pPr>
    <w:r>
      <w:rPr>
        <w:rFonts w:ascii="Verdana" w:hAnsi="Verdana" w:cs="Verdana"/>
        <w:noProof/>
        <w:sz w:val="26"/>
        <w:szCs w:val="26"/>
      </w:rPr>
      <w:drawing>
        <wp:anchor distT="0" distB="0" distL="0" distR="0" simplePos="0" relativeHeight="251656192" behindDoc="1" locked="0" layoutInCell="0" allowOverlap="1" wp14:anchorId="451EA9C1" wp14:editId="446336CB">
          <wp:simplePos x="0" y="0"/>
          <wp:positionH relativeFrom="column">
            <wp:posOffset>5600700</wp:posOffset>
          </wp:positionH>
          <wp:positionV relativeFrom="paragraph">
            <wp:posOffset>-147955</wp:posOffset>
          </wp:positionV>
          <wp:extent cx="798195" cy="798195"/>
          <wp:effectExtent l="0" t="0" r="0" b="0"/>
          <wp:wrapSquare wrapText="largest"/>
          <wp:docPr id="1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0" t="-22" r="-20" b="-22"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798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noProof/>
        <w:sz w:val="26"/>
        <w:szCs w:val="26"/>
      </w:rPr>
      <w:drawing>
        <wp:anchor distT="0" distB="0" distL="114935" distR="114935" simplePos="0" relativeHeight="251658240" behindDoc="1" locked="0" layoutInCell="0" allowOverlap="1" wp14:anchorId="2D39CFE1" wp14:editId="1DE8C52E">
          <wp:simplePos x="0" y="0"/>
          <wp:positionH relativeFrom="column">
            <wp:posOffset>-185420</wp:posOffset>
          </wp:positionH>
          <wp:positionV relativeFrom="paragraph">
            <wp:posOffset>-105410</wp:posOffset>
          </wp:positionV>
          <wp:extent cx="875665" cy="712470"/>
          <wp:effectExtent l="0" t="0" r="0" b="0"/>
          <wp:wrapSquare wrapText="bothSides"/>
          <wp:docPr id="2" name="Figur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47" t="-609" r="-547" b="-609"/>
                  <a:stretch>
                    <a:fillRect/>
                  </a:stretch>
                </pic:blipFill>
                <pic:spPr bwMode="auto">
                  <a:xfrm>
                    <a:off x="0" y="0"/>
                    <a:ext cx="87566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60E2A1" w14:textId="77777777" w:rsidR="009A10E8" w:rsidRDefault="00000000">
    <w:pPr>
      <w:spacing w:after="200"/>
      <w:jc w:val="center"/>
      <w:rPr>
        <w:rFonts w:ascii="Verdana" w:eastAsia="Calibri" w:hAnsi="Verdana" w:cs="Verdana"/>
        <w:sz w:val="26"/>
        <w:szCs w:val="26"/>
      </w:rPr>
    </w:pPr>
    <w:r>
      <w:rPr>
        <w:rFonts w:ascii="Verdana" w:eastAsia="Calibri" w:hAnsi="Verdana" w:cs="Verdana"/>
        <w:sz w:val="26"/>
        <w:szCs w:val="26"/>
      </w:rPr>
      <w:t>PREFEITURA MUNICIPAL DE SÃO GABRIEL DA PALHA</w:t>
    </w:r>
    <w:r>
      <w:rPr>
        <w:rFonts w:ascii="Verdana" w:eastAsia="Calibri" w:hAnsi="Verdana" w:cs="Verdana"/>
        <w:b/>
        <w:sz w:val="26"/>
        <w:szCs w:val="26"/>
      </w:rPr>
      <w:br/>
    </w:r>
    <w:r>
      <w:rPr>
        <w:rFonts w:ascii="Arial Narrow" w:eastAsia="Calibri" w:hAnsi="Arial Narrow" w:cs="Calibri"/>
        <w:b/>
        <w:sz w:val="16"/>
        <w:szCs w:val="16"/>
      </w:rPr>
      <w:t>ESTADO DO ESPÍRITO SANTO</w:t>
    </w:r>
    <w:r>
      <w:rPr>
        <w:rFonts w:ascii="Verdana" w:eastAsia="Calibri" w:hAnsi="Verdana" w:cs="Verdana"/>
        <w:b/>
        <w:sz w:val="22"/>
        <w:szCs w:val="22"/>
      </w:rPr>
      <w:t xml:space="preserve"> </w:t>
    </w:r>
    <w:r>
      <w:rPr>
        <w:rFonts w:ascii="Verdana" w:eastAsia="Calibri" w:hAnsi="Verdana" w:cs="Verdana"/>
        <w:b/>
        <w:sz w:val="22"/>
        <w:szCs w:val="22"/>
      </w:rPr>
      <w:br/>
    </w:r>
    <w:r>
      <w:rPr>
        <w:rFonts w:ascii="Arial Narrow" w:eastAsia="Calibri" w:hAnsi="Arial Narrow" w:cs="Arial Narrow"/>
        <w:b/>
        <w:szCs w:val="26"/>
      </w:rPr>
      <w:t>Secretaria Municipal de Esporte e Lazer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516CF" w14:textId="77777777" w:rsidR="009A10E8" w:rsidRDefault="00000000">
    <w:pPr>
      <w:jc w:val="center"/>
      <w:rPr>
        <w:rFonts w:ascii="Verdana" w:hAnsi="Verdana" w:cs="Verdana"/>
        <w:sz w:val="26"/>
        <w:szCs w:val="26"/>
      </w:rPr>
    </w:pPr>
    <w:r>
      <w:rPr>
        <w:rFonts w:ascii="Verdana" w:hAnsi="Verdana" w:cs="Verdana"/>
        <w:noProof/>
        <w:sz w:val="26"/>
        <w:szCs w:val="26"/>
      </w:rPr>
      <w:drawing>
        <wp:anchor distT="0" distB="0" distL="0" distR="0" simplePos="0" relativeHeight="251657216" behindDoc="1" locked="0" layoutInCell="0" allowOverlap="1" wp14:anchorId="05E13268" wp14:editId="2B577834">
          <wp:simplePos x="0" y="0"/>
          <wp:positionH relativeFrom="column">
            <wp:posOffset>5600700</wp:posOffset>
          </wp:positionH>
          <wp:positionV relativeFrom="paragraph">
            <wp:posOffset>-147955</wp:posOffset>
          </wp:positionV>
          <wp:extent cx="798195" cy="798195"/>
          <wp:effectExtent l="0" t="0" r="0" b="0"/>
          <wp:wrapSquare wrapText="largest"/>
          <wp:docPr id="3" name="Figur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0" t="-22" r="-20" b="-22"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798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noProof/>
        <w:sz w:val="26"/>
        <w:szCs w:val="26"/>
      </w:rPr>
      <w:drawing>
        <wp:anchor distT="0" distB="0" distL="114935" distR="114935" simplePos="0" relativeHeight="251659264" behindDoc="1" locked="0" layoutInCell="0" allowOverlap="1" wp14:anchorId="55AB341D" wp14:editId="23FB127B">
          <wp:simplePos x="0" y="0"/>
          <wp:positionH relativeFrom="column">
            <wp:posOffset>-185420</wp:posOffset>
          </wp:positionH>
          <wp:positionV relativeFrom="paragraph">
            <wp:posOffset>-105410</wp:posOffset>
          </wp:positionV>
          <wp:extent cx="875665" cy="712470"/>
          <wp:effectExtent l="0" t="0" r="0" b="0"/>
          <wp:wrapSquare wrapText="bothSides"/>
          <wp:docPr id="4" name="Figur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547" t="-609" r="-547" b="-609"/>
                  <a:stretch>
                    <a:fillRect/>
                  </a:stretch>
                </pic:blipFill>
                <pic:spPr bwMode="auto">
                  <a:xfrm>
                    <a:off x="0" y="0"/>
                    <a:ext cx="875665" cy="7124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18DBEB" w14:textId="77777777" w:rsidR="009A10E8" w:rsidRDefault="00000000">
    <w:pPr>
      <w:spacing w:after="200"/>
      <w:jc w:val="center"/>
      <w:rPr>
        <w:rFonts w:ascii="Verdana" w:eastAsia="Calibri" w:hAnsi="Verdana" w:cs="Verdana"/>
        <w:sz w:val="26"/>
        <w:szCs w:val="26"/>
      </w:rPr>
    </w:pPr>
    <w:r>
      <w:rPr>
        <w:rFonts w:ascii="Verdana" w:eastAsia="Calibri" w:hAnsi="Verdana" w:cs="Verdana"/>
        <w:sz w:val="26"/>
        <w:szCs w:val="26"/>
      </w:rPr>
      <w:t>PREFEITURA MUNICIPAL DE SÃO GABRIEL DA PALHA</w:t>
    </w:r>
    <w:r>
      <w:rPr>
        <w:rFonts w:ascii="Verdana" w:eastAsia="Calibri" w:hAnsi="Verdana" w:cs="Verdana"/>
        <w:b/>
        <w:sz w:val="26"/>
        <w:szCs w:val="26"/>
      </w:rPr>
      <w:br/>
    </w:r>
    <w:r>
      <w:rPr>
        <w:rFonts w:ascii="Arial Narrow" w:eastAsia="Calibri" w:hAnsi="Arial Narrow" w:cs="Calibri"/>
        <w:b/>
        <w:sz w:val="16"/>
        <w:szCs w:val="16"/>
      </w:rPr>
      <w:t>ESTADO DO ESPÍRITO SANTO</w:t>
    </w:r>
    <w:r>
      <w:rPr>
        <w:rFonts w:ascii="Verdana" w:eastAsia="Calibri" w:hAnsi="Verdana" w:cs="Verdana"/>
        <w:b/>
        <w:sz w:val="22"/>
        <w:szCs w:val="22"/>
      </w:rPr>
      <w:t xml:space="preserve"> </w:t>
    </w:r>
    <w:r>
      <w:rPr>
        <w:rFonts w:ascii="Verdana" w:eastAsia="Calibri" w:hAnsi="Verdana" w:cs="Verdana"/>
        <w:b/>
        <w:sz w:val="22"/>
        <w:szCs w:val="22"/>
      </w:rPr>
      <w:br/>
    </w:r>
    <w:r>
      <w:rPr>
        <w:rFonts w:ascii="Arial Narrow" w:eastAsia="Calibri" w:hAnsi="Arial Narrow" w:cs="Arial Narrow"/>
        <w:b/>
        <w:szCs w:val="26"/>
      </w:rPr>
      <w:t>Secretaria Municipal de Esporte e Lazer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0E8"/>
    <w:rsid w:val="003227FA"/>
    <w:rsid w:val="009A10E8"/>
    <w:rsid w:val="00F2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07BF0"/>
  <w15:docId w15:val="{4358216F-E6D9-4CED-A85F-8CC21397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11">
    <w:name w:val="Footnote Characters11"/>
    <w:basedOn w:val="Fontepargpadro"/>
    <w:uiPriority w:val="99"/>
    <w:semiHidden/>
    <w:unhideWhenUsed/>
    <w:qFormat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1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1779</Words>
  <Characters>9609</Characters>
  <Application>Microsoft Office Word</Application>
  <DocSecurity>0</DocSecurity>
  <Lines>80</Lines>
  <Paragraphs>22</Paragraphs>
  <ScaleCrop>false</ScaleCrop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109</cp:revision>
  <cp:lastPrinted>2025-08-21T16:28:00Z</cp:lastPrinted>
  <dcterms:created xsi:type="dcterms:W3CDTF">2019-06-04T16:18:00Z</dcterms:created>
  <dcterms:modified xsi:type="dcterms:W3CDTF">2025-09-03T16:42:00Z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CF9B813784864DFE8584DC5732EF5D6B_12</vt:lpwstr>
  </property>
  <property fmtid="{D5CDD505-2E9C-101B-9397-08002B2CF9AE}" pid="4" name="KSOProductBuildVer">
    <vt:lpwstr>1046-12.2.0.20782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